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C9" w:rsidRPr="00601D13" w:rsidRDefault="00395BC9" w:rsidP="00601D13">
      <w:pPr>
        <w:spacing w:after="0"/>
        <w:jc w:val="center"/>
        <w:rPr>
          <w:rFonts w:ascii="Bradley Hand ITC" w:hAnsi="Bradley Hand ITC" w:cs="Aharoni"/>
          <w:b/>
          <w:sz w:val="120"/>
          <w:szCs w:val="120"/>
          <w:u w:val="single"/>
        </w:rPr>
      </w:pPr>
      <w:r w:rsidRPr="00601D13">
        <w:rPr>
          <w:rFonts w:ascii="Bradley Hand ITC" w:hAnsi="Bradley Hand ITC" w:cs="Aharoni"/>
          <w:b/>
          <w:sz w:val="120"/>
          <w:szCs w:val="120"/>
          <w:u w:val="single"/>
        </w:rPr>
        <w:t>Accueil matin</w:t>
      </w:r>
    </w:p>
    <w:p w:rsidR="00DC1036" w:rsidRPr="00601D13" w:rsidRDefault="00395BC9" w:rsidP="00601D13">
      <w:pPr>
        <w:spacing w:after="0"/>
        <w:jc w:val="center"/>
        <w:rPr>
          <w:rFonts w:ascii="Bradley Hand ITC" w:hAnsi="Bradley Hand ITC" w:cs="Aharoni"/>
          <w:sz w:val="96"/>
          <w:szCs w:val="96"/>
        </w:rPr>
      </w:pPr>
      <w:r w:rsidRPr="00601D13">
        <w:rPr>
          <w:rFonts w:ascii="Bradley Hand ITC" w:hAnsi="Bradley Hand ITC" w:cs="Aharoni"/>
          <w:b/>
          <w:sz w:val="96"/>
          <w:szCs w:val="96"/>
          <w:u w:val="single"/>
        </w:rPr>
        <w:t>6</w:t>
      </w:r>
      <w:r w:rsidRPr="00601D13">
        <w:rPr>
          <w:rFonts w:ascii="Bradley Hand ITC" w:hAnsi="Bradley Hand ITC" w:cs="Aharoni"/>
          <w:b/>
          <w:sz w:val="96"/>
          <w:szCs w:val="96"/>
          <w:u w:val="single"/>
          <w:vertAlign w:val="superscript"/>
        </w:rPr>
        <w:t>ème</w:t>
      </w:r>
      <w:r w:rsidRPr="00601D13">
        <w:rPr>
          <w:rFonts w:ascii="Bradley Hand ITC" w:hAnsi="Bradley Hand ITC" w:cs="Aharoni"/>
          <w:b/>
          <w:sz w:val="96"/>
          <w:szCs w:val="96"/>
          <w:u w:val="single"/>
        </w:rPr>
        <w:t xml:space="preserve"> année</w:t>
      </w:r>
    </w:p>
    <w:p w:rsidR="00601D13" w:rsidRPr="00601D13" w:rsidRDefault="00395BC9" w:rsidP="00601D13">
      <w:pPr>
        <w:spacing w:after="0"/>
        <w:jc w:val="center"/>
        <w:rPr>
          <w:rFonts w:ascii="Bradley Hand ITC" w:hAnsi="Bradley Hand ITC" w:cs="Aharoni"/>
          <w:b/>
          <w:sz w:val="72"/>
          <w:szCs w:val="72"/>
          <w:u w:val="single"/>
        </w:rPr>
      </w:pPr>
      <w:r w:rsidRPr="00601D13">
        <w:rPr>
          <w:rFonts w:ascii="Bradley Hand ITC" w:hAnsi="Bradley Hand ITC" w:cs="Aharoni"/>
          <w:b/>
          <w:sz w:val="72"/>
          <w:szCs w:val="72"/>
          <w:u w:val="single"/>
        </w:rPr>
        <w:t xml:space="preserve">De 08h05 à 08h25 </w:t>
      </w:r>
    </w:p>
    <w:p w:rsidR="00395BC9" w:rsidRPr="00601D13" w:rsidRDefault="00601D13" w:rsidP="00601D13">
      <w:pPr>
        <w:spacing w:after="0"/>
        <w:jc w:val="center"/>
        <w:rPr>
          <w:rFonts w:ascii="Bradley Hand ITC" w:hAnsi="Bradley Hand ITC" w:cs="Aharoni"/>
          <w:b/>
          <w:sz w:val="66"/>
          <w:szCs w:val="66"/>
          <w:u w:val="single"/>
        </w:rPr>
      </w:pPr>
      <w:r w:rsidRPr="00601D13">
        <w:rPr>
          <w:rFonts w:ascii="Bradley Hand ITC" w:hAnsi="Bradley Hand ITC" w:cs="Aharoni"/>
          <w:b/>
          <w:sz w:val="66"/>
          <w:szCs w:val="66"/>
          <w:u w:val="single"/>
        </w:rPr>
        <w:t>C</w:t>
      </w:r>
      <w:r w:rsidR="00395BC9" w:rsidRPr="00601D13">
        <w:rPr>
          <w:rFonts w:ascii="Bradley Hand ITC" w:hAnsi="Bradley Hand ITC" w:cs="Aharoni"/>
          <w:b/>
          <w:sz w:val="66"/>
          <w:szCs w:val="66"/>
          <w:u w:val="single"/>
        </w:rPr>
        <w:t>hez Mmes Evelyne et Séverine</w:t>
      </w:r>
    </w:p>
    <w:p w:rsidR="00395BC9" w:rsidRPr="00601D13" w:rsidRDefault="00E70692" w:rsidP="00601D13">
      <w:p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noProof/>
          <w:sz w:val="52"/>
          <w:szCs w:val="52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262255</wp:posOffset>
            </wp:positionH>
            <wp:positionV relativeFrom="page">
              <wp:posOffset>4591050</wp:posOffset>
            </wp:positionV>
            <wp:extent cx="5762625" cy="5429250"/>
            <wp:effectExtent l="19050" t="0" r="9525" b="0"/>
            <wp:wrapNone/>
            <wp:docPr id="1" name="Image 0" descr="2002%20-%20Etude%20Zen%20au%20fus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2%20-%20Etude%20Zen%20au%20fusain.jpg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BC9" w:rsidRPr="00601D13">
        <w:rPr>
          <w:rFonts w:ascii="Bradley Hand ITC" w:hAnsi="Bradley Hand ITC" w:cs="Aharoni"/>
          <w:b/>
          <w:sz w:val="52"/>
          <w:szCs w:val="52"/>
        </w:rPr>
        <w:t>C’est un moment calme, avant de commencer la journée, où l’on peut :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Lire un livre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Revoir ses leçons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Ecouter de la musique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Travailler un projet en cours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Aider un autre enfant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Faire sa charge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Terminer un travail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Aider madame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Jouer calmement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Préparer ses affaires (rituel)</w:t>
      </w:r>
    </w:p>
    <w:p w:rsidR="00395BC9" w:rsidRPr="00601D13" w:rsidRDefault="00395BC9" w:rsidP="00601D13">
      <w:pPr>
        <w:pStyle w:val="Paragraphedeliste"/>
        <w:numPr>
          <w:ilvl w:val="0"/>
          <w:numId w:val="1"/>
        </w:numPr>
        <w:spacing w:after="0"/>
        <w:jc w:val="center"/>
        <w:rPr>
          <w:rFonts w:ascii="Bradley Hand ITC" w:hAnsi="Bradley Hand ITC" w:cs="Aharoni"/>
          <w:b/>
          <w:sz w:val="52"/>
          <w:szCs w:val="52"/>
        </w:rPr>
      </w:pPr>
      <w:r w:rsidRPr="00601D13">
        <w:rPr>
          <w:rFonts w:ascii="Bradley Hand ITC" w:hAnsi="Bradley Hand ITC" w:cs="Aharoni"/>
          <w:b/>
          <w:sz w:val="52"/>
          <w:szCs w:val="52"/>
        </w:rPr>
        <w:t>………</w:t>
      </w:r>
    </w:p>
    <w:sectPr w:rsidR="00395BC9" w:rsidRPr="00601D13" w:rsidSect="00601D1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9F4"/>
    <w:multiLevelType w:val="hybridMultilevel"/>
    <w:tmpl w:val="2A9624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5BC9"/>
    <w:rsid w:val="00395BC9"/>
    <w:rsid w:val="00601D13"/>
    <w:rsid w:val="00DC1036"/>
    <w:rsid w:val="00E7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B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C606-B83B-4BEA-A78B-BDDD46CF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Eve</cp:lastModifiedBy>
  <cp:revision>2</cp:revision>
  <dcterms:created xsi:type="dcterms:W3CDTF">2008-11-05T16:48:00Z</dcterms:created>
  <dcterms:modified xsi:type="dcterms:W3CDTF">2008-11-05T16:48:00Z</dcterms:modified>
</cp:coreProperties>
</file>