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3E214" w14:textId="77777777" w:rsidR="00417B22" w:rsidRPr="00E21ECC" w:rsidRDefault="00FB7A9D">
      <w:pPr>
        <w:rPr>
          <w:rFonts w:ascii="Goudy Old Style" w:hAnsi="Goudy Old Style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5FBC" w:rsidRPr="00E21ECC" w14:paraId="38CC6A73" w14:textId="77777777" w:rsidTr="007A5FBC">
        <w:tc>
          <w:tcPr>
            <w:tcW w:w="9056" w:type="dxa"/>
          </w:tcPr>
          <w:p w14:paraId="3FF4FF18" w14:textId="77777777" w:rsidR="007A5FBC" w:rsidRPr="00E21ECC" w:rsidRDefault="007A5FBC" w:rsidP="007A5FBC">
            <w:pPr>
              <w:jc w:val="center"/>
              <w:rPr>
                <w:rFonts w:ascii="Goudy Old Style" w:hAnsi="Goudy Old Style"/>
                <w:b/>
                <w:sz w:val="28"/>
              </w:rPr>
            </w:pPr>
            <w:r w:rsidRPr="00E21ECC">
              <w:rPr>
                <w:rFonts w:ascii="Goudy Old Style" w:hAnsi="Goudy Old Style"/>
                <w:b/>
                <w:sz w:val="28"/>
              </w:rPr>
              <w:t>Version latine – UAA1</w:t>
            </w:r>
          </w:p>
          <w:p w14:paraId="34EB0FDD" w14:textId="4B509FF7" w:rsidR="007A5FBC" w:rsidRPr="00E21ECC" w:rsidRDefault="00844C41" w:rsidP="007A5FBC">
            <w:pPr>
              <w:jc w:val="center"/>
              <w:rPr>
                <w:rFonts w:ascii="Goudy Old Style" w:hAnsi="Goudy Old Style"/>
                <w:i/>
              </w:rPr>
            </w:pPr>
            <w:r>
              <w:rPr>
                <w:rFonts w:ascii="Goudy Old Style" w:hAnsi="Goudy Old Style"/>
                <w:i/>
              </w:rPr>
              <w:t>La marque du dragon</w:t>
            </w:r>
          </w:p>
        </w:tc>
      </w:tr>
    </w:tbl>
    <w:p w14:paraId="151C9D77" w14:textId="77777777" w:rsidR="007A5FBC" w:rsidRPr="00E21ECC" w:rsidRDefault="007A5FBC">
      <w:pPr>
        <w:rPr>
          <w:rFonts w:ascii="Goudy Old Style" w:hAnsi="Goudy Old Style"/>
        </w:rPr>
      </w:pPr>
    </w:p>
    <w:p w14:paraId="05D18FFD" w14:textId="77777777" w:rsidR="007A5FBC" w:rsidRPr="00E21ECC" w:rsidRDefault="007A5FBC">
      <w:pPr>
        <w:rPr>
          <w:rFonts w:ascii="Goudy Old Style" w:hAnsi="Goudy Old Style"/>
        </w:rPr>
      </w:pPr>
    </w:p>
    <w:p w14:paraId="538D8166" w14:textId="5E25702E" w:rsidR="007A5FBC" w:rsidRPr="00E21ECC" w:rsidRDefault="007A5FBC" w:rsidP="007A5FBC">
      <w:pPr>
        <w:jc w:val="both"/>
        <w:rPr>
          <w:rFonts w:ascii="Goudy Old Style" w:hAnsi="Goudy Old Style"/>
          <w:u w:val="single"/>
        </w:rPr>
      </w:pPr>
      <w:r w:rsidRPr="00E21ECC">
        <w:rPr>
          <w:rFonts w:ascii="Goudy Old Style" w:hAnsi="Goudy Old Style"/>
          <w:u w:val="single"/>
        </w:rPr>
        <w:t xml:space="preserve">Traduis le plus élégamment possible cet extrait </w:t>
      </w:r>
      <w:r w:rsidR="002E2BEB" w:rsidRPr="00E21ECC">
        <w:rPr>
          <w:rFonts w:ascii="Goudy Old Style" w:hAnsi="Goudy Old Style"/>
          <w:u w:val="single"/>
        </w:rPr>
        <w:t xml:space="preserve">du livre </w:t>
      </w:r>
      <w:r w:rsidR="00844C41">
        <w:rPr>
          <w:rFonts w:ascii="Goudy Old Style" w:hAnsi="Goudy Old Style"/>
          <w:u w:val="single"/>
        </w:rPr>
        <w:t>XCIV</w:t>
      </w:r>
      <w:r w:rsidR="002E2BEB" w:rsidRPr="00E21ECC">
        <w:rPr>
          <w:rFonts w:ascii="Goudy Old Style" w:hAnsi="Goudy Old Style"/>
          <w:u w:val="single"/>
        </w:rPr>
        <w:t xml:space="preserve"> de</w:t>
      </w:r>
      <w:r w:rsidR="00844C41">
        <w:rPr>
          <w:rFonts w:ascii="Goudy Old Style" w:hAnsi="Goudy Old Style"/>
          <w:u w:val="single"/>
        </w:rPr>
        <w:t xml:space="preserve">s Vies des douze Césars </w:t>
      </w:r>
      <w:r w:rsidR="002E2BEB" w:rsidRPr="00E21ECC">
        <w:rPr>
          <w:rFonts w:ascii="Goudy Old Style" w:hAnsi="Goudy Old Style"/>
          <w:u w:val="single"/>
        </w:rPr>
        <w:t xml:space="preserve">de </w:t>
      </w:r>
      <w:r w:rsidR="00844C41">
        <w:rPr>
          <w:rFonts w:ascii="Goudy Old Style" w:hAnsi="Goudy Old Style"/>
          <w:u w:val="single"/>
        </w:rPr>
        <w:t>Suétone</w:t>
      </w:r>
      <w:r w:rsidR="00CE76A4" w:rsidRPr="00E21ECC">
        <w:rPr>
          <w:rFonts w:ascii="Goudy Old Style" w:hAnsi="Goudy Old Style"/>
          <w:u w:val="single"/>
        </w:rPr>
        <w:t xml:space="preserve"> </w:t>
      </w:r>
      <w:r w:rsidRPr="00E21ECC">
        <w:rPr>
          <w:rFonts w:ascii="Goudy Old Style" w:hAnsi="Goudy Old Style"/>
          <w:u w:val="single"/>
        </w:rPr>
        <w:t xml:space="preserve">à propos </w:t>
      </w:r>
      <w:r w:rsidR="00CE76A4" w:rsidRPr="00E21ECC">
        <w:rPr>
          <w:rFonts w:ascii="Goudy Old Style" w:hAnsi="Goudy Old Style"/>
          <w:u w:val="single"/>
        </w:rPr>
        <w:t xml:space="preserve">d’un </w:t>
      </w:r>
      <w:r w:rsidR="00844C41">
        <w:rPr>
          <w:rFonts w:ascii="Goudy Old Style" w:hAnsi="Goudy Old Style"/>
          <w:u w:val="single"/>
        </w:rPr>
        <w:t>événement merveilleux</w:t>
      </w:r>
      <w:r w:rsidRPr="00E21ECC">
        <w:rPr>
          <w:rFonts w:ascii="Goudy Old Style" w:hAnsi="Goudy Old Style"/>
          <w:u w:val="single"/>
        </w:rPr>
        <w:t xml:space="preserve">. </w:t>
      </w:r>
    </w:p>
    <w:p w14:paraId="76AA1180" w14:textId="77777777" w:rsidR="007A5FBC" w:rsidRPr="00E21ECC" w:rsidRDefault="007A5FBC">
      <w:pPr>
        <w:rPr>
          <w:rFonts w:ascii="Goudy Old Style" w:hAnsi="Goudy Old Style"/>
        </w:rPr>
      </w:pPr>
    </w:p>
    <w:p w14:paraId="3EF70536" w14:textId="77777777" w:rsidR="00844C41" w:rsidRPr="00844C41" w:rsidRDefault="00844C41" w:rsidP="00844C41">
      <w:pPr>
        <w:spacing w:line="480" w:lineRule="auto"/>
        <w:jc w:val="both"/>
        <w:rPr>
          <w:rFonts w:ascii="Goudy Old Style" w:hAnsi="Goudy Old Style"/>
          <w:bCs/>
          <w:sz w:val="28"/>
          <w:lang w:val="fr-BE"/>
        </w:rPr>
      </w:pPr>
      <w:r w:rsidRPr="00844C41">
        <w:rPr>
          <w:rFonts w:ascii="Goudy Old Style" w:hAnsi="Goudy Old Style"/>
          <w:bCs/>
          <w:sz w:val="28"/>
          <w:lang w:val="fr-BE"/>
        </w:rPr>
        <w:t>In Asclepiadis Mendetis (…) libris lego, Atiam, cum ad sollemne Apollinis sacrum media nocte uenisset, (…) obdormisse; draconem repente irrepsisse ad eam pauloque post egressum (…) ; et statim in corpore eius exstitisse maculam uelut picti draconis nec potuisse umquam exigi, adeo ut mox publicis balineis perpetuo abstinuerit; Augustum natum mense decimo et ob hoc Apollinis filium existimatum.</w:t>
      </w:r>
    </w:p>
    <w:p w14:paraId="2439A2AC" w14:textId="77777777" w:rsidR="007A5FBC" w:rsidRPr="00E21ECC" w:rsidRDefault="007A5FBC" w:rsidP="00EF6DEA">
      <w:pPr>
        <w:jc w:val="both"/>
        <w:rPr>
          <w:rFonts w:ascii="Goudy Old Style" w:hAnsi="Goudy Old Style"/>
          <w:sz w:val="28"/>
        </w:rPr>
      </w:pPr>
      <w:r w:rsidRPr="00E21ECC">
        <w:rPr>
          <w:rFonts w:ascii="Goudy Old Style" w:hAnsi="Goudy Old Style"/>
          <w:sz w:val="28"/>
        </w:rPr>
        <w:t xml:space="preserve">Vocabulaire </w:t>
      </w:r>
    </w:p>
    <w:p w14:paraId="52225921" w14:textId="77777777" w:rsidR="00B711FA" w:rsidRPr="00E21ECC" w:rsidRDefault="00B711FA" w:rsidP="00EF6DEA">
      <w:pPr>
        <w:jc w:val="both"/>
        <w:rPr>
          <w:rFonts w:ascii="Goudy Old Style" w:eastAsia="Calibri" w:hAnsi="Goudy Old Style" w:cs="Calibri"/>
          <w:sz w:val="22"/>
        </w:rPr>
        <w:sectPr w:rsidR="00B711FA" w:rsidRPr="00E21ECC" w:rsidSect="00810DBA">
          <w:headerReference w:type="default" r:id="rId6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448B2A7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ābstĭnĕo, es, ere, tinui, tentum: tenir éloigné de ; s'abstenir, se tenir à l'écart de</w:t>
      </w:r>
    </w:p>
    <w:p w14:paraId="23FAAC3A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ăd, prép. + acc.: vers, à, près de</w:t>
      </w:r>
    </w:p>
    <w:p w14:paraId="62ADF4C6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ădĕō, adv.: tellement ; (adeo... ut + subj) tellement... que</w:t>
      </w:r>
    </w:p>
    <w:p w14:paraId="4694499D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  <w:lang w:val="en-US"/>
        </w:rPr>
      </w:pPr>
      <w:r w:rsidRPr="001919B1">
        <w:rPr>
          <w:rFonts w:ascii="Cambria" w:eastAsia="Calibri" w:hAnsi="Cambria" w:cs="Cambria"/>
          <w:sz w:val="20"/>
          <w:lang w:val="en-US"/>
        </w:rPr>
        <w:t>Ăpōllō, inis, m. : Apollon</w:t>
      </w:r>
    </w:p>
    <w:p w14:paraId="41D8E546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Āsclēpĭădes, ae, m.: Asclépiade</w:t>
      </w:r>
    </w:p>
    <w:p w14:paraId="38E09515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Ătĭa, ae, f. : Atia (mère d'Auguste)</w:t>
      </w:r>
    </w:p>
    <w:p w14:paraId="1AC41AA0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  <w:lang w:val="fr-BE"/>
        </w:rPr>
      </w:pPr>
      <w:r w:rsidRPr="001919B1">
        <w:rPr>
          <w:rFonts w:ascii="Cambria" w:eastAsia="Calibri" w:hAnsi="Cambria" w:cs="Cambria"/>
          <w:sz w:val="20"/>
          <w:lang w:val="fr-BE"/>
        </w:rPr>
        <w:t>Āugūstus, i, m.: Auguste</w:t>
      </w:r>
    </w:p>
    <w:p w14:paraId="703E375A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  <w:lang w:val="fr-BE"/>
        </w:rPr>
      </w:pPr>
      <w:r w:rsidRPr="001919B1">
        <w:rPr>
          <w:rFonts w:ascii="Cambria" w:eastAsia="Calibri" w:hAnsi="Cambria" w:cs="Cambria"/>
          <w:sz w:val="20"/>
          <w:lang w:val="fr-BE"/>
        </w:rPr>
        <w:t>bălĭnĕŭm, i, n. : bain</w:t>
      </w:r>
    </w:p>
    <w:p w14:paraId="1DDE5FA0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cōrpŭs, oris, n. : corps</w:t>
      </w:r>
    </w:p>
    <w:p w14:paraId="77072E33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cŭm, conj.: alors que (conj. + subj.)</w:t>
      </w:r>
    </w:p>
    <w:p w14:paraId="698459C1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dĕcĭmus, a, um : dixième</w:t>
      </w:r>
    </w:p>
    <w:p w14:paraId="15742B70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drăcō̆, onis, m. : dragon</w:t>
      </w:r>
    </w:p>
    <w:p w14:paraId="24B337DD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drăcō̆, onis, m. : dragon</w:t>
      </w:r>
    </w:p>
    <w:p w14:paraId="0A72DA67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ēgrĕdĭŏr, eris, i, egressus sum : sortir</w:t>
      </w:r>
    </w:p>
    <w:p w14:paraId="73314EF9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  <w:lang w:val="en-US"/>
        </w:rPr>
      </w:pPr>
      <w:r w:rsidRPr="001919B1">
        <w:rPr>
          <w:rFonts w:ascii="Cambria" w:eastAsia="Calibri" w:hAnsi="Cambria" w:cs="Cambria"/>
          <w:sz w:val="20"/>
          <w:lang w:val="en-US"/>
        </w:rPr>
        <w:t xml:space="preserve">ēxĭgo, is, ere, egi, actum : </w:t>
      </w:r>
      <w:r w:rsidRPr="001919B1">
        <w:rPr>
          <w:rFonts w:ascii="Cambria" w:eastAsia="Calibri" w:hAnsi="Cambria" w:cs="Cambria"/>
          <w:sz w:val="20"/>
          <w:lang w:val="en-US"/>
        </w:rPr>
        <w:t>effacer</w:t>
      </w:r>
    </w:p>
    <w:p w14:paraId="45AF9114" w14:textId="77777777" w:rsidR="001919B1" w:rsidRPr="001919B1" w:rsidRDefault="001919B1" w:rsidP="001919B1">
      <w:pPr>
        <w:jc w:val="both"/>
        <w:rPr>
          <w:rFonts w:ascii="Goudy Old Style" w:hAnsi="Goudy Old Style"/>
        </w:rPr>
      </w:pPr>
      <w:r w:rsidRPr="001919B1">
        <w:rPr>
          <w:rFonts w:ascii="Cambria" w:eastAsia="Calibri" w:hAnsi="Cambria" w:cs="Cambria"/>
          <w:sz w:val="20"/>
        </w:rPr>
        <w:t>ēxīstĭmo, ēxīstŭmo, as, are: estimer, juger, considérer, être d'avis</w:t>
      </w:r>
    </w:p>
    <w:p w14:paraId="7B5D9862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ēxsīsto, is, ere, stiti : sortir de, s'élever de, se montrer</w:t>
      </w:r>
    </w:p>
    <w:p w14:paraId="50ABEBED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fīlĭus, ii, m. : fils</w:t>
      </w:r>
    </w:p>
    <w:p w14:paraId="6E86B48B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  <w:lang w:val="en-US"/>
        </w:rPr>
        <w:t>hīc, haec, hoc, adj. pron.</w:t>
      </w:r>
      <w:r w:rsidRPr="001919B1">
        <w:rPr>
          <w:rFonts w:ascii="Cambria" w:eastAsia="Calibri" w:hAnsi="Cambria" w:cs="Cambria"/>
          <w:sz w:val="20"/>
        </w:rPr>
        <w:t>: adj. ce, cette pron. celui-ci, celle-ci (antécédent : celui, celle, ceux)</w:t>
      </w:r>
    </w:p>
    <w:p w14:paraId="40C92358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ĭn, īndŭ, prép. + acc. ou + abl.: dans, en, sur</w:t>
      </w:r>
    </w:p>
    <w:p w14:paraId="7F5DC1B4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īnrēpo, is, ere, repsi, reptum : ramper dans ou vers, s'insinuer</w:t>
      </w:r>
    </w:p>
    <w:p w14:paraId="4ADD1552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ĭs, ea, id, adj. et pron.: adj. ce, cette pron. celui-ci, celle-ci, cela ; il, elle, le (au génitif : son, sa, ses)</w:t>
      </w:r>
    </w:p>
    <w:p w14:paraId="1E87B93E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lĭbĕr, bri, m. : livre</w:t>
      </w:r>
    </w:p>
    <w:p w14:paraId="57DA39D1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măcŭla, ae, f. : tache</w:t>
      </w:r>
    </w:p>
    <w:p w14:paraId="69E8ECE7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mĕdĭus, a, um</w:t>
      </w:r>
      <w:r w:rsidRPr="001919B1">
        <w:rPr>
          <w:rFonts w:ascii="Cambria" w:eastAsia="Calibri" w:hAnsi="Cambria" w:cs="Cambria"/>
          <w:sz w:val="20"/>
        </w:rPr>
        <w:t xml:space="preserve"> </w:t>
      </w:r>
      <w:r w:rsidRPr="001919B1">
        <w:rPr>
          <w:rFonts w:ascii="Cambria" w:eastAsia="Calibri" w:hAnsi="Cambria" w:cs="Cambria"/>
          <w:sz w:val="20"/>
        </w:rPr>
        <w:t xml:space="preserve"> : qui est au milieu, en son milieu</w:t>
      </w:r>
    </w:p>
    <w:p w14:paraId="27D53BED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Mēndēs, ētis, f. : de Mendès [ville d'Égypte]</w:t>
      </w:r>
    </w:p>
    <w:p w14:paraId="3A68BD0D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  <w:lang w:val="fr-BE"/>
        </w:rPr>
      </w:pPr>
      <w:r w:rsidRPr="001919B1">
        <w:rPr>
          <w:rFonts w:ascii="Cambria" w:eastAsia="Calibri" w:hAnsi="Cambria" w:cs="Cambria"/>
          <w:sz w:val="20"/>
          <w:lang w:val="fr-BE"/>
        </w:rPr>
        <w:t>mēnsĭs, is, m. : mois</w:t>
      </w:r>
    </w:p>
    <w:p w14:paraId="5F298046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mōx, adv.: bientôt</w:t>
      </w:r>
    </w:p>
    <w:p w14:paraId="562AF47D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nāscŏr, eris, i, natus sum</w:t>
      </w:r>
      <w:r w:rsidRPr="001919B1">
        <w:rPr>
          <w:rFonts w:ascii="Cambria" w:eastAsia="Calibri" w:hAnsi="Cambria" w:cs="Cambria"/>
          <w:sz w:val="20"/>
        </w:rPr>
        <w:t xml:space="preserve"> </w:t>
      </w:r>
      <w:r w:rsidRPr="001919B1">
        <w:rPr>
          <w:rFonts w:ascii="Cambria" w:eastAsia="Calibri" w:hAnsi="Cambria" w:cs="Cambria"/>
          <w:sz w:val="20"/>
        </w:rPr>
        <w:t>: naître (prendre son origine, provenir)</w:t>
      </w:r>
    </w:p>
    <w:p w14:paraId="48F2514D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nĕc, adv. : (et ne ...) pas, ni</w:t>
      </w:r>
    </w:p>
    <w:p w14:paraId="1325D469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nōx, noctis, f. : nuit</w:t>
      </w:r>
    </w:p>
    <w:p w14:paraId="2D528707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ŏb, prép. + acc.: à cause de</w:t>
      </w:r>
    </w:p>
    <w:p w14:paraId="5212EAF0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ōbdōrmĭo, is, ire, īvi (ii), ītum : dormir profondément, dormir</w:t>
      </w:r>
    </w:p>
    <w:p w14:paraId="3ACBD965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pāulō, adv. : un peu</w:t>
      </w:r>
    </w:p>
    <w:p w14:paraId="395FDA39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 xml:space="preserve">pērpĕtŭō, adv. : </w:t>
      </w:r>
      <w:r w:rsidRPr="001919B1">
        <w:rPr>
          <w:rFonts w:ascii="Cambria" w:eastAsia="Calibri" w:hAnsi="Cambria" w:cs="Cambria"/>
          <w:sz w:val="20"/>
        </w:rPr>
        <w:t>pour/</w:t>
      </w:r>
      <w:r w:rsidRPr="001919B1">
        <w:rPr>
          <w:rFonts w:ascii="Cambria" w:eastAsia="Calibri" w:hAnsi="Cambria" w:cs="Cambria"/>
          <w:sz w:val="20"/>
        </w:rPr>
        <w:t>depuis toujours</w:t>
      </w:r>
    </w:p>
    <w:p w14:paraId="2D439114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  <w:lang w:val="en-US"/>
        </w:rPr>
      </w:pPr>
      <w:r w:rsidRPr="001919B1">
        <w:rPr>
          <w:rFonts w:ascii="Cambria" w:eastAsia="Calibri" w:hAnsi="Cambria" w:cs="Cambria"/>
          <w:sz w:val="20"/>
          <w:lang w:val="en-US"/>
        </w:rPr>
        <w:t>pīngo, is, ere, pinxi, pictum : peindre</w:t>
      </w:r>
    </w:p>
    <w:p w14:paraId="142173FA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pōssŭm, potes, posse, potui: pouvoir</w:t>
      </w:r>
    </w:p>
    <w:p w14:paraId="626AEAC7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pōst, adv, prép. + acc.: derrière, après</w:t>
      </w:r>
    </w:p>
    <w:p w14:paraId="3ABDAD89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pūblĭcūs, a, um: public</w:t>
      </w:r>
    </w:p>
    <w:p w14:paraId="19B72110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rĕpēntĕ, adv. : soudain</w:t>
      </w:r>
    </w:p>
    <w:p w14:paraId="217C1072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  <w:lang w:val="en-US"/>
        </w:rPr>
        <w:t xml:space="preserve">sā̆crŭm, i, n.  </w:t>
      </w:r>
      <w:r w:rsidRPr="001919B1">
        <w:rPr>
          <w:rFonts w:ascii="Cambria" w:eastAsia="Calibri" w:hAnsi="Cambria" w:cs="Cambria"/>
          <w:sz w:val="20"/>
        </w:rPr>
        <w:t>: cérémonie, sacrifice, temple</w:t>
      </w:r>
    </w:p>
    <w:p w14:paraId="2F8FB0A5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sōlēmnĭs, sōllēmnĭs, sōllēmpnĭs, e : qui revient tous les ans, consacré, habituel</w:t>
      </w:r>
      <w:r w:rsidRPr="001919B1">
        <w:rPr>
          <w:rFonts w:ascii="Cambria" w:eastAsia="Calibri" w:hAnsi="Cambria" w:cs="Cambria"/>
          <w:sz w:val="20"/>
        </w:rPr>
        <w:t>, solennel</w:t>
      </w:r>
    </w:p>
    <w:p w14:paraId="36786B81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stătĭm, adv. : aussitôt</w:t>
      </w:r>
    </w:p>
    <w:p w14:paraId="44C10B3B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ūmquăm, adv.: une seule fois ; (avec une négation) jamais</w:t>
      </w:r>
    </w:p>
    <w:p w14:paraId="3CD8A855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  <w:lang w:val="fr-BE"/>
        </w:rPr>
      </w:pPr>
      <w:r w:rsidRPr="001919B1">
        <w:rPr>
          <w:rFonts w:ascii="Cambria" w:eastAsia="Calibri" w:hAnsi="Cambria" w:cs="Cambria"/>
          <w:sz w:val="20"/>
          <w:lang w:val="fr-BE"/>
        </w:rPr>
        <w:t>vĕlŭt, adv.: comme</w:t>
      </w:r>
    </w:p>
    <w:p w14:paraId="5EBE8CCF" w14:textId="77777777" w:rsidR="001919B1" w:rsidRPr="001919B1" w:rsidRDefault="001919B1" w:rsidP="001919B1">
      <w:pPr>
        <w:jc w:val="both"/>
        <w:rPr>
          <w:rFonts w:ascii="Cambria" w:eastAsia="Calibri" w:hAnsi="Cambria" w:cs="Cambria"/>
          <w:sz w:val="20"/>
        </w:rPr>
      </w:pPr>
      <w:r w:rsidRPr="001919B1">
        <w:rPr>
          <w:rFonts w:ascii="Cambria" w:eastAsia="Calibri" w:hAnsi="Cambria" w:cs="Cambria"/>
          <w:sz w:val="20"/>
        </w:rPr>
        <w:t>vĕnĭo, is, ire, ueni, uentum : venir</w:t>
      </w:r>
    </w:p>
    <w:p w14:paraId="25AB9999" w14:textId="77777777" w:rsidR="00E21ECC" w:rsidRDefault="00E21ECC" w:rsidP="00E21ECC">
      <w:pPr>
        <w:jc w:val="both"/>
        <w:rPr>
          <w:rFonts w:ascii="Goudy Old Style" w:hAnsi="Goudy Old Style"/>
          <w:sz w:val="22"/>
        </w:rPr>
      </w:pPr>
    </w:p>
    <w:p w14:paraId="2BE16BC3" w14:textId="77777777" w:rsidR="00E21ECC" w:rsidRDefault="00E21ECC" w:rsidP="00E21ECC">
      <w:pPr>
        <w:jc w:val="both"/>
        <w:rPr>
          <w:rFonts w:ascii="Goudy Old Style" w:hAnsi="Goudy Old Style"/>
          <w:sz w:val="22"/>
        </w:rPr>
      </w:pPr>
    </w:p>
    <w:p w14:paraId="0EC5FE6A" w14:textId="43303802" w:rsidR="00E21ECC" w:rsidRPr="00E21ECC" w:rsidRDefault="00E21ECC" w:rsidP="00E21ECC">
      <w:pPr>
        <w:jc w:val="both"/>
        <w:rPr>
          <w:rFonts w:ascii="Goudy Old Style" w:hAnsi="Goudy Old Style"/>
          <w:sz w:val="22"/>
        </w:rPr>
        <w:sectPr w:rsidR="00E21ECC" w:rsidRPr="00E21ECC" w:rsidSect="00F940B7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Style w:val="Grilledutableau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711FA" w:rsidRPr="00E21ECC" w14:paraId="4B40BC4F" w14:textId="77777777" w:rsidTr="00B711FA">
        <w:tc>
          <w:tcPr>
            <w:tcW w:w="9056" w:type="dxa"/>
          </w:tcPr>
          <w:p w14:paraId="774FCB8C" w14:textId="3BE9AE06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4337BC07" w14:textId="77777777" w:rsidTr="00B711FA">
        <w:tc>
          <w:tcPr>
            <w:tcW w:w="9056" w:type="dxa"/>
          </w:tcPr>
          <w:p w14:paraId="0D8505AF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2F2E3309" w14:textId="77777777" w:rsidTr="00B711FA">
        <w:tc>
          <w:tcPr>
            <w:tcW w:w="9056" w:type="dxa"/>
          </w:tcPr>
          <w:p w14:paraId="4C352DE3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3B76FB59" w14:textId="77777777" w:rsidTr="00B711FA">
        <w:tc>
          <w:tcPr>
            <w:tcW w:w="9056" w:type="dxa"/>
          </w:tcPr>
          <w:p w14:paraId="1A68A462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243FE359" w14:textId="77777777" w:rsidTr="00B711FA">
        <w:tc>
          <w:tcPr>
            <w:tcW w:w="9056" w:type="dxa"/>
          </w:tcPr>
          <w:p w14:paraId="5E956490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502D060F" w14:textId="77777777" w:rsidTr="00B711FA">
        <w:tc>
          <w:tcPr>
            <w:tcW w:w="9056" w:type="dxa"/>
          </w:tcPr>
          <w:p w14:paraId="42018A8C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58343200" w14:textId="77777777" w:rsidTr="00B711FA">
        <w:tc>
          <w:tcPr>
            <w:tcW w:w="9056" w:type="dxa"/>
          </w:tcPr>
          <w:p w14:paraId="6A4E482F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72F8327A" w14:textId="77777777" w:rsidTr="00B711FA">
        <w:tc>
          <w:tcPr>
            <w:tcW w:w="9056" w:type="dxa"/>
          </w:tcPr>
          <w:p w14:paraId="656F1EA9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B711FA" w:rsidRPr="00E21ECC" w14:paraId="67456F76" w14:textId="77777777" w:rsidTr="00B711FA">
        <w:tc>
          <w:tcPr>
            <w:tcW w:w="9056" w:type="dxa"/>
          </w:tcPr>
          <w:p w14:paraId="36B5608A" w14:textId="77777777" w:rsidR="00B711FA" w:rsidRPr="00E21EC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C60751" w:rsidRPr="00E21ECC" w14:paraId="2C5E6172" w14:textId="77777777" w:rsidTr="00B711FA">
        <w:tc>
          <w:tcPr>
            <w:tcW w:w="9056" w:type="dxa"/>
          </w:tcPr>
          <w:p w14:paraId="6DD20032" w14:textId="77777777" w:rsidR="00C60751" w:rsidRPr="00E21ECC" w:rsidRDefault="00C60751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C60751" w:rsidRPr="00E21ECC" w14:paraId="474A60C1" w14:textId="77777777" w:rsidTr="00B711FA">
        <w:tc>
          <w:tcPr>
            <w:tcW w:w="9056" w:type="dxa"/>
          </w:tcPr>
          <w:p w14:paraId="3BCD1FD1" w14:textId="77777777" w:rsidR="00C60751" w:rsidRPr="00E21ECC" w:rsidRDefault="00C60751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  <w:tr w:rsidR="00C60751" w:rsidRPr="00E21ECC" w14:paraId="2DD8DF36" w14:textId="77777777" w:rsidTr="00B711FA">
        <w:tc>
          <w:tcPr>
            <w:tcW w:w="9056" w:type="dxa"/>
          </w:tcPr>
          <w:p w14:paraId="0B6E9F10" w14:textId="77777777" w:rsidR="00C60751" w:rsidRPr="00E21ECC" w:rsidRDefault="00C60751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</w:rPr>
            </w:pPr>
          </w:p>
        </w:tc>
      </w:tr>
    </w:tbl>
    <w:p w14:paraId="312190F4" w14:textId="77777777" w:rsidR="00B711FA" w:rsidRPr="00E21ECC" w:rsidRDefault="00B711FA" w:rsidP="007A5FBC">
      <w:pPr>
        <w:spacing w:line="480" w:lineRule="auto"/>
        <w:jc w:val="both"/>
        <w:rPr>
          <w:rFonts w:ascii="Goudy Old Style" w:hAnsi="Goudy Old Style"/>
          <w:sz w:val="28"/>
        </w:rPr>
      </w:pPr>
    </w:p>
    <w:tbl>
      <w:tblPr>
        <w:tblStyle w:val="TableauGrille1Clair"/>
        <w:tblW w:w="5000" w:type="pct"/>
        <w:tblLook w:val="0000" w:firstRow="0" w:lastRow="0" w:firstColumn="0" w:lastColumn="0" w:noHBand="0" w:noVBand="0"/>
      </w:tblPr>
      <w:tblGrid>
        <w:gridCol w:w="2402"/>
        <w:gridCol w:w="5419"/>
        <w:gridCol w:w="1235"/>
      </w:tblGrid>
      <w:tr w:rsidR="00B711FA" w:rsidRPr="00E21ECC" w14:paraId="771B4D58" w14:textId="77777777" w:rsidTr="00B711FA">
        <w:trPr>
          <w:trHeight w:val="110"/>
        </w:trPr>
        <w:tc>
          <w:tcPr>
            <w:tcW w:w="1326" w:type="pct"/>
          </w:tcPr>
          <w:p w14:paraId="6FC2BC80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Critères </w:t>
            </w:r>
          </w:p>
        </w:tc>
        <w:tc>
          <w:tcPr>
            <w:tcW w:w="2992" w:type="pct"/>
          </w:tcPr>
          <w:p w14:paraId="1CC66EDE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Indicateurs </w:t>
            </w:r>
          </w:p>
        </w:tc>
        <w:tc>
          <w:tcPr>
            <w:tcW w:w="682" w:type="pct"/>
          </w:tcPr>
          <w:p w14:paraId="0397F193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Evaluation </w:t>
            </w:r>
          </w:p>
        </w:tc>
      </w:tr>
      <w:tr w:rsidR="00B711FA" w:rsidRPr="00E21ECC" w14:paraId="082FAEE6" w14:textId="77777777" w:rsidTr="00B711FA">
        <w:trPr>
          <w:trHeight w:val="2044"/>
        </w:trPr>
        <w:tc>
          <w:tcPr>
            <w:tcW w:w="1326" w:type="pct"/>
          </w:tcPr>
          <w:p w14:paraId="6D732AF8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Pertinence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: adéquation entre la traduction proposée et le sens précis du texte latin </w:t>
            </w:r>
          </w:p>
          <w:p w14:paraId="76444BA0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2992" w:type="pct"/>
          </w:tcPr>
          <w:p w14:paraId="351629BE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structures syntaxiques (sujet-verbe ; propositions principales/subordonnées) </w:t>
            </w:r>
          </w:p>
          <w:p w14:paraId="2E4C382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du rapport chronologique (temps, adverbes…) </w:t>
            </w:r>
          </w:p>
          <w:p w14:paraId="3D136A71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 la syntaxe des cas et des genres </w:t>
            </w:r>
          </w:p>
          <w:p w14:paraId="2CE739F5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Identification et respect des pronoms et des personnes </w:t>
            </w:r>
          </w:p>
          <w:p w14:paraId="3DA73BB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conjonctions </w:t>
            </w:r>
          </w:p>
          <w:p w14:paraId="53AB3299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Traduction de tous les mots </w:t>
            </w:r>
          </w:p>
        </w:tc>
        <w:tc>
          <w:tcPr>
            <w:tcW w:w="682" w:type="pct"/>
          </w:tcPr>
          <w:p w14:paraId="69C1043A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/4</w:t>
            </w:r>
          </w:p>
          <w:p w14:paraId="2CCC0D72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</w:p>
          <w:p w14:paraId="2B2CA93B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6B64F59A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/4</w:t>
            </w:r>
          </w:p>
          <w:p w14:paraId="1B2F057D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75F25FA7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6E4C824D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/4</w:t>
            </w:r>
          </w:p>
        </w:tc>
      </w:tr>
      <w:tr w:rsidR="00B711FA" w:rsidRPr="00E21ECC" w14:paraId="47E2625E" w14:textId="77777777" w:rsidTr="00B711FA">
        <w:trPr>
          <w:trHeight w:val="626"/>
        </w:trPr>
        <w:tc>
          <w:tcPr>
            <w:tcW w:w="1326" w:type="pct"/>
          </w:tcPr>
          <w:p w14:paraId="285568D3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Cohérence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: logique de la production réalisée </w:t>
            </w:r>
          </w:p>
        </w:tc>
        <w:tc>
          <w:tcPr>
            <w:tcW w:w="2992" w:type="pct"/>
          </w:tcPr>
          <w:p w14:paraId="6FA33420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Pas d’incohérence essentielle </w:t>
            </w:r>
          </w:p>
          <w:p w14:paraId="6313A8C8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Chaque phrase a un sens </w:t>
            </w:r>
          </w:p>
          <w:p w14:paraId="043EF5EC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682" w:type="pct"/>
          </w:tcPr>
          <w:p w14:paraId="7E6D1C79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3AEA4192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</w:tc>
      </w:tr>
      <w:tr w:rsidR="00B711FA" w:rsidRPr="00E21ECC" w14:paraId="1EB2631A" w14:textId="77777777" w:rsidTr="00B711FA">
        <w:trPr>
          <w:trHeight w:val="497"/>
        </w:trPr>
        <w:tc>
          <w:tcPr>
            <w:tcW w:w="1326" w:type="pct"/>
          </w:tcPr>
          <w:p w14:paraId="52E4924E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Profondeur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: prise en compte du contexte (narratif, mythologique, littéraire…) </w:t>
            </w:r>
          </w:p>
        </w:tc>
        <w:tc>
          <w:tcPr>
            <w:tcW w:w="2992" w:type="pct"/>
          </w:tcPr>
          <w:p w14:paraId="25CD923B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Choix du bon sens des mots </w:t>
            </w:r>
          </w:p>
          <w:p w14:paraId="5A6F9761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catégories des noms propres </w:t>
            </w:r>
          </w:p>
          <w:p w14:paraId="060F5C0D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682" w:type="pct"/>
          </w:tcPr>
          <w:p w14:paraId="164B2336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5B9282D7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/2 </w:t>
            </w:r>
          </w:p>
        </w:tc>
      </w:tr>
      <w:tr w:rsidR="00B711FA" w:rsidRPr="00E21ECC" w14:paraId="38EBCF7F" w14:textId="77777777" w:rsidTr="00B711FA">
        <w:trPr>
          <w:trHeight w:val="496"/>
        </w:trPr>
        <w:tc>
          <w:tcPr>
            <w:tcW w:w="1326" w:type="pct"/>
          </w:tcPr>
          <w:p w14:paraId="3C908CA0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Qualité de la langue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française : correction lexicale et syntaxique du texte en français </w:t>
            </w:r>
          </w:p>
        </w:tc>
        <w:tc>
          <w:tcPr>
            <w:tcW w:w="2992" w:type="pct"/>
          </w:tcPr>
          <w:p w14:paraId="106FA81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structures syntaxiques correctes en français </w:t>
            </w:r>
          </w:p>
          <w:p w14:paraId="269095FC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 l’orthographe </w:t>
            </w:r>
          </w:p>
          <w:p w14:paraId="13D6A24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682" w:type="pct"/>
          </w:tcPr>
          <w:p w14:paraId="2C1CBE23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/2 </w:t>
            </w:r>
          </w:p>
          <w:p w14:paraId="65B7029B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</w:tc>
      </w:tr>
      <w:tr w:rsidR="007A5FBC" w:rsidRPr="00E21ECC" w14:paraId="188595FF" w14:textId="77777777" w:rsidTr="00B711FA">
        <w:trPr>
          <w:trHeight w:val="110"/>
        </w:trPr>
        <w:tc>
          <w:tcPr>
            <w:tcW w:w="4318" w:type="pct"/>
            <w:gridSpan w:val="2"/>
          </w:tcPr>
          <w:p w14:paraId="49841726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TOTAL </w:t>
            </w:r>
          </w:p>
        </w:tc>
        <w:tc>
          <w:tcPr>
            <w:tcW w:w="682" w:type="pct"/>
          </w:tcPr>
          <w:p w14:paraId="6B78E8BD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/30</w:t>
            </w:r>
          </w:p>
        </w:tc>
      </w:tr>
    </w:tbl>
    <w:p w14:paraId="57D80A83" w14:textId="77777777" w:rsidR="007A5FBC" w:rsidRPr="00E21ECC" w:rsidRDefault="007A5FBC" w:rsidP="00EF6DEA">
      <w:pPr>
        <w:spacing w:line="480" w:lineRule="auto"/>
        <w:jc w:val="both"/>
        <w:rPr>
          <w:rFonts w:ascii="Goudy Old Style" w:hAnsi="Goudy Old Style"/>
          <w:sz w:val="28"/>
        </w:rPr>
      </w:pPr>
    </w:p>
    <w:sectPr w:rsidR="007A5FBC" w:rsidRPr="00E21ECC" w:rsidSect="00B711FA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DE43F" w14:textId="77777777" w:rsidR="00FB7A9D" w:rsidRDefault="00FB7A9D" w:rsidP="007A5FBC">
      <w:r>
        <w:separator/>
      </w:r>
    </w:p>
  </w:endnote>
  <w:endnote w:type="continuationSeparator" w:id="0">
    <w:p w14:paraId="6917C0AE" w14:textId="77777777" w:rsidR="00FB7A9D" w:rsidRDefault="00FB7A9D" w:rsidP="007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69C0" w14:textId="77777777" w:rsidR="00FB7A9D" w:rsidRDefault="00FB7A9D" w:rsidP="007A5FBC">
      <w:r>
        <w:separator/>
      </w:r>
    </w:p>
  </w:footnote>
  <w:footnote w:type="continuationSeparator" w:id="0">
    <w:p w14:paraId="7C753ED6" w14:textId="77777777" w:rsidR="00FB7A9D" w:rsidRDefault="00FB7A9D" w:rsidP="007A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CE28" w14:textId="168138F6" w:rsidR="007A5FBC" w:rsidRPr="007A5FBC" w:rsidRDefault="007A5FBC">
    <w:pPr>
      <w:pStyle w:val="En-tte"/>
      <w:rPr>
        <w:rFonts w:ascii="Goudy Old Style" w:hAnsi="Goudy Old Style"/>
      </w:rPr>
    </w:pPr>
    <w:r w:rsidRPr="007A5FBC">
      <w:rPr>
        <w:rFonts w:ascii="Goudy Old Style" w:hAnsi="Goudy Old Style"/>
      </w:rPr>
      <w:t xml:space="preserve">Nom : </w:t>
    </w:r>
    <w:r w:rsidRPr="007A5FBC">
      <w:rPr>
        <w:rFonts w:ascii="Goudy Old Style" w:hAnsi="Goudy Old Style"/>
      </w:rPr>
      <w:tab/>
    </w:r>
    <w:r w:rsidRPr="007A5FBC">
      <w:rPr>
        <w:rFonts w:ascii="Goudy Old Style" w:hAnsi="Goudy Old Style"/>
      </w:rPr>
      <w:tab/>
      <w:t>IND Fleurus – Latin – 4 GT</w:t>
    </w:r>
  </w:p>
  <w:p w14:paraId="46DBB749" w14:textId="77777777" w:rsidR="007A5FBC" w:rsidRPr="007A5FBC" w:rsidRDefault="007A5FBC">
    <w:pPr>
      <w:pStyle w:val="En-tte"/>
      <w:rPr>
        <w:rFonts w:ascii="Goudy Old Style" w:hAnsi="Goudy Old Style"/>
      </w:rPr>
    </w:pPr>
    <w:r w:rsidRPr="007A5FBC">
      <w:rPr>
        <w:rFonts w:ascii="Goudy Old Style" w:hAnsi="Goudy Old Style"/>
      </w:rPr>
      <w:t xml:space="preserve">Prénom : </w:t>
    </w:r>
    <w:r w:rsidRPr="007A5FBC">
      <w:rPr>
        <w:rFonts w:ascii="Goudy Old Style" w:hAnsi="Goudy Old Style"/>
      </w:rPr>
      <w:tab/>
    </w:r>
    <w:r w:rsidRPr="007A5FBC">
      <w:rPr>
        <w:rFonts w:ascii="Goudy Old Style" w:hAnsi="Goudy Old Style"/>
      </w:rPr>
      <w:tab/>
      <w:t xml:space="preserve">Date 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BC"/>
    <w:rsid w:val="000E4331"/>
    <w:rsid w:val="001919B1"/>
    <w:rsid w:val="001D5158"/>
    <w:rsid w:val="002E2BEB"/>
    <w:rsid w:val="00394404"/>
    <w:rsid w:val="00402F4A"/>
    <w:rsid w:val="005C3C0A"/>
    <w:rsid w:val="00683C88"/>
    <w:rsid w:val="006C5C93"/>
    <w:rsid w:val="00775561"/>
    <w:rsid w:val="007A5FBC"/>
    <w:rsid w:val="007E7F7B"/>
    <w:rsid w:val="00810DBA"/>
    <w:rsid w:val="00844C41"/>
    <w:rsid w:val="00955C9A"/>
    <w:rsid w:val="00AD04C6"/>
    <w:rsid w:val="00B711FA"/>
    <w:rsid w:val="00C60751"/>
    <w:rsid w:val="00CE76A4"/>
    <w:rsid w:val="00E21ECC"/>
    <w:rsid w:val="00E776DE"/>
    <w:rsid w:val="00E85A05"/>
    <w:rsid w:val="00EF0176"/>
    <w:rsid w:val="00EF6DEA"/>
    <w:rsid w:val="00F21EB9"/>
    <w:rsid w:val="00F775BD"/>
    <w:rsid w:val="00F940B7"/>
    <w:rsid w:val="00F95DC1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68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5F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FBC"/>
  </w:style>
  <w:style w:type="paragraph" w:styleId="Pieddepage">
    <w:name w:val="footer"/>
    <w:basedOn w:val="Normal"/>
    <w:link w:val="PieddepageCar"/>
    <w:uiPriority w:val="99"/>
    <w:unhideWhenUsed/>
    <w:rsid w:val="007A5F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FBC"/>
  </w:style>
  <w:style w:type="table" w:styleId="Grilledutableau">
    <w:name w:val="Table Grid"/>
    <w:basedOn w:val="TableauNormal"/>
    <w:uiPriority w:val="39"/>
    <w:rsid w:val="007A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7A5FBC"/>
    <w:rPr>
      <w:sz w:val="22"/>
      <w:szCs w:val="22"/>
      <w:lang w:val="fr-B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2</cp:revision>
  <dcterms:created xsi:type="dcterms:W3CDTF">2020-01-21T10:07:00Z</dcterms:created>
  <dcterms:modified xsi:type="dcterms:W3CDTF">2020-01-21T10:07:00Z</dcterms:modified>
</cp:coreProperties>
</file>