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A1C" w:rsidRDefault="00450A1C" w:rsidP="00450A1C">
      <w:bookmarkStart w:id="0" w:name="_Hlk134180938"/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86BA7A" wp14:editId="4CACD3C7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A1C" w:rsidRPr="00435470" w:rsidRDefault="00450A1C" w:rsidP="00450A1C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6BA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:rsidR="00450A1C" w:rsidRPr="00435470" w:rsidRDefault="00450A1C" w:rsidP="00450A1C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0A1C" w:rsidRPr="009C2975" w:rsidRDefault="00450A1C" w:rsidP="00450A1C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P4-P6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450A1C" w:rsidRPr="003208F1" w:rsidTr="00346FD8">
        <w:tc>
          <w:tcPr>
            <w:tcW w:w="4820" w:type="dxa"/>
            <w:gridSpan w:val="2"/>
          </w:tcPr>
          <w:p w:rsidR="00450A1C" w:rsidRPr="00E900F4" w:rsidRDefault="00450A1C" w:rsidP="00346FD8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:rsidR="00450A1C" w:rsidRPr="00A062A8" w:rsidRDefault="00450A1C" w:rsidP="00346FD8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>
              <w:rPr>
                <w:sz w:val="24"/>
              </w:rPr>
              <w:t>Obéir ou désobéir</w:t>
            </w:r>
          </w:p>
        </w:tc>
      </w:tr>
      <w:tr w:rsidR="00450A1C" w:rsidRPr="003208F1" w:rsidTr="00346FD8">
        <w:tc>
          <w:tcPr>
            <w:tcW w:w="9639" w:type="dxa"/>
            <w:gridSpan w:val="4"/>
          </w:tcPr>
          <w:p w:rsidR="00450A1C" w:rsidRPr="003208F1" w:rsidRDefault="00450A1C" w:rsidP="00346FD8">
            <w:pPr>
              <w:rPr>
                <w:b/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</w:t>
            </w:r>
            <w:r>
              <w:rPr>
                <w:sz w:val="24"/>
              </w:rPr>
              <w:t>les, dans des situations concrètes</w:t>
            </w:r>
            <w:r w:rsidR="005B046F">
              <w:rPr>
                <w:sz w:val="24"/>
              </w:rPr>
              <w:t>,</w:t>
            </w:r>
            <w:r>
              <w:rPr>
                <w:sz w:val="24"/>
              </w:rPr>
              <w:t xml:space="preserve"> de se positionner sur l’intérêt d’obéir ou de désobéir.</w:t>
            </w:r>
          </w:p>
        </w:tc>
      </w:tr>
      <w:tr w:rsidR="00450A1C" w:rsidRPr="003208F1" w:rsidTr="00346FD8">
        <w:tc>
          <w:tcPr>
            <w:tcW w:w="9639" w:type="dxa"/>
            <w:gridSpan w:val="4"/>
          </w:tcPr>
          <w:p w:rsidR="00450A1C" w:rsidRPr="0058240B" w:rsidRDefault="00450A1C" w:rsidP="00346FD8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Pr="00A60A2D">
              <w:rPr>
                <w:sz w:val="24"/>
              </w:rPr>
              <w:t>P43, 49 et 55 Prendre position de manière argumentée.</w:t>
            </w:r>
          </w:p>
        </w:tc>
      </w:tr>
      <w:tr w:rsidR="00450A1C" w:rsidRPr="003208F1" w:rsidTr="00346FD8">
        <w:tc>
          <w:tcPr>
            <w:tcW w:w="4820" w:type="dxa"/>
            <w:gridSpan w:val="2"/>
          </w:tcPr>
          <w:p w:rsidR="00450A1C" w:rsidRPr="003278D6" w:rsidRDefault="00450A1C" w:rsidP="00346FD8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:rsidR="009D6CF9" w:rsidRPr="00A82C48" w:rsidRDefault="009D6CF9" w:rsidP="00346FD8">
            <w:pPr>
              <w:rPr>
                <w:sz w:val="24"/>
              </w:rPr>
            </w:pPr>
            <w:r>
              <w:rPr>
                <w:sz w:val="24"/>
              </w:rPr>
              <w:t>-Concepts d’obéir et de désobéir</w:t>
            </w:r>
          </w:p>
        </w:tc>
        <w:tc>
          <w:tcPr>
            <w:tcW w:w="4819" w:type="dxa"/>
            <w:gridSpan w:val="2"/>
          </w:tcPr>
          <w:p w:rsidR="00450A1C" w:rsidRPr="003278D6" w:rsidRDefault="00450A1C" w:rsidP="00346FD8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:rsidR="00450A1C" w:rsidRDefault="009D6CF9" w:rsidP="00346FD8">
            <w:pPr>
              <w:rPr>
                <w:sz w:val="24"/>
              </w:rPr>
            </w:pPr>
            <w:r>
              <w:rPr>
                <w:sz w:val="24"/>
              </w:rPr>
              <w:t>-Dans des situations concrètes, se positionner sur l’intérêt d’obéir ou de désobéir</w:t>
            </w:r>
          </w:p>
          <w:p w:rsidR="009D6CF9" w:rsidRPr="00365C31" w:rsidRDefault="009D6CF9" w:rsidP="00346FD8">
            <w:pPr>
              <w:rPr>
                <w:sz w:val="24"/>
              </w:rPr>
            </w:pPr>
            <w:r>
              <w:rPr>
                <w:sz w:val="24"/>
              </w:rPr>
              <w:t>-Argumenter</w:t>
            </w:r>
          </w:p>
        </w:tc>
      </w:tr>
      <w:tr w:rsidR="00450A1C" w:rsidRPr="003208F1" w:rsidTr="00346FD8">
        <w:tc>
          <w:tcPr>
            <w:tcW w:w="2688" w:type="dxa"/>
          </w:tcPr>
          <w:p w:rsidR="00450A1C" w:rsidRPr="00A436B8" w:rsidRDefault="00450A1C" w:rsidP="00346FD8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450A1C" w:rsidRDefault="009D6CF9" w:rsidP="00346FD8">
            <w:pPr>
              <w:rPr>
                <w:sz w:val="24"/>
              </w:rPr>
            </w:pPr>
            <w:r>
              <w:rPr>
                <w:sz w:val="24"/>
              </w:rPr>
              <w:t>L’évaluation sera considérée comme réussi</w:t>
            </w:r>
            <w:r w:rsidR="005B046F">
              <w:rPr>
                <w:sz w:val="24"/>
              </w:rPr>
              <w:t>e</w:t>
            </w:r>
            <w:r>
              <w:rPr>
                <w:sz w:val="24"/>
              </w:rPr>
              <w:t xml:space="preserve"> si l’E est capable, dans des situations concrètes</w:t>
            </w:r>
            <w:r w:rsidR="005B046F">
              <w:rPr>
                <w:sz w:val="24"/>
              </w:rPr>
              <w:t>,</w:t>
            </w:r>
            <w:r>
              <w:rPr>
                <w:sz w:val="24"/>
              </w:rPr>
              <w:t xml:space="preserve"> de se positionner sur l’intérêt d’obéir ou de désobéir.</w:t>
            </w:r>
          </w:p>
        </w:tc>
      </w:tr>
      <w:tr w:rsidR="00450A1C" w:rsidRPr="003208F1" w:rsidTr="00346FD8">
        <w:tc>
          <w:tcPr>
            <w:tcW w:w="2688" w:type="dxa"/>
          </w:tcPr>
          <w:p w:rsidR="00450A1C" w:rsidRPr="003208F1" w:rsidRDefault="00450A1C" w:rsidP="00346FD8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450A1C" w:rsidRDefault="00450A1C" w:rsidP="00346FD8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:rsidR="00450A1C" w:rsidRDefault="009D6CF9" w:rsidP="00346FD8">
            <w:pPr>
              <w:rPr>
                <w:sz w:val="24"/>
              </w:rPr>
            </w:pPr>
            <w:r>
              <w:rPr>
                <w:sz w:val="24"/>
              </w:rPr>
              <w:t>-PC, Baffle, vid</w:t>
            </w:r>
            <w:r w:rsidR="005B046F">
              <w:rPr>
                <w:sz w:val="24"/>
              </w:rPr>
              <w:t>é</w:t>
            </w:r>
            <w:r>
              <w:rPr>
                <w:sz w:val="24"/>
              </w:rPr>
              <w:t>o «  expérience Milgram »</w:t>
            </w:r>
          </w:p>
          <w:p w:rsidR="009D6CF9" w:rsidRDefault="009D6CF9" w:rsidP="00346FD8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:rsidR="009D6CF9" w:rsidRDefault="009D6CF9" w:rsidP="00346FD8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:rsidR="009D6CF9" w:rsidRDefault="009D6CF9" w:rsidP="009D6CF9">
            <w:pPr>
              <w:rPr>
                <w:sz w:val="24"/>
              </w:rPr>
            </w:pPr>
            <w:r>
              <w:rPr>
                <w:sz w:val="24"/>
              </w:rPr>
              <w:t>-Es autour du PC (si pas de TBI) pendant le visionnage des vidéos</w:t>
            </w:r>
          </w:p>
          <w:p w:rsidR="00450A1C" w:rsidRPr="00A82C48" w:rsidRDefault="009D6CF9" w:rsidP="009D6CF9">
            <w:pPr>
              <w:rPr>
                <w:sz w:val="24"/>
              </w:rPr>
            </w:pPr>
            <w:r>
              <w:rPr>
                <w:sz w:val="24"/>
              </w:rPr>
              <w:t>-Disposition habituelle de la classe durant le remplissage de la feuille</w:t>
            </w:r>
          </w:p>
        </w:tc>
      </w:tr>
      <w:tr w:rsidR="00450A1C" w:rsidRPr="003208F1" w:rsidTr="00346FD8">
        <w:tc>
          <w:tcPr>
            <w:tcW w:w="2688" w:type="dxa"/>
          </w:tcPr>
          <w:p w:rsidR="00450A1C" w:rsidRPr="003208F1" w:rsidRDefault="00450A1C" w:rsidP="00346FD8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450A1C" w:rsidRDefault="00337E03" w:rsidP="00346FD8">
            <w:pPr>
              <w:rPr>
                <w:sz w:val="24"/>
              </w:rPr>
            </w:pPr>
            <w:r>
              <w:rPr>
                <w:sz w:val="24"/>
              </w:rPr>
              <w:t>-Exposition du thème</w:t>
            </w:r>
          </w:p>
          <w:p w:rsidR="00337E03" w:rsidRDefault="00337E03" w:rsidP="00346FD8">
            <w:pPr>
              <w:rPr>
                <w:sz w:val="24"/>
              </w:rPr>
            </w:pPr>
            <w:r>
              <w:rPr>
                <w:sz w:val="24"/>
              </w:rPr>
              <w:t>-Définition des concepts</w:t>
            </w:r>
          </w:p>
          <w:p w:rsidR="00337E03" w:rsidRDefault="00337E03" w:rsidP="00346FD8">
            <w:pPr>
              <w:rPr>
                <w:sz w:val="24"/>
              </w:rPr>
            </w:pPr>
            <w:r>
              <w:rPr>
                <w:sz w:val="24"/>
              </w:rPr>
              <w:t>-Débat philosophique autour du thème</w:t>
            </w:r>
          </w:p>
          <w:p w:rsidR="00337E03" w:rsidRDefault="00337E03" w:rsidP="00346FD8">
            <w:pPr>
              <w:rPr>
                <w:sz w:val="24"/>
              </w:rPr>
            </w:pPr>
            <w:r>
              <w:rPr>
                <w:sz w:val="24"/>
              </w:rPr>
              <w:t xml:space="preserve">-Face à des situations concrètes, les </w:t>
            </w:r>
            <w:r w:rsidR="005B046F">
              <w:rPr>
                <w:sz w:val="24"/>
              </w:rPr>
              <w:t>E</w:t>
            </w:r>
            <w:r>
              <w:rPr>
                <w:sz w:val="24"/>
              </w:rPr>
              <w:t>s se positionne</w:t>
            </w:r>
            <w:r w:rsidR="005B046F">
              <w:rPr>
                <w:sz w:val="24"/>
              </w:rPr>
              <w:t>nt</w:t>
            </w:r>
            <w:r>
              <w:rPr>
                <w:sz w:val="24"/>
              </w:rPr>
              <w:t xml:space="preserve"> sur l’intérêt d’obéir ou de désobéir.</w:t>
            </w:r>
          </w:p>
          <w:p w:rsidR="00337E03" w:rsidRPr="00A82C48" w:rsidRDefault="00337E03" w:rsidP="00346FD8">
            <w:pPr>
              <w:rPr>
                <w:sz w:val="24"/>
              </w:rPr>
            </w:pPr>
            <w:r>
              <w:rPr>
                <w:sz w:val="24"/>
              </w:rPr>
              <w:t>Bonus : visionnage de l’expérience de Milgram</w:t>
            </w:r>
          </w:p>
        </w:tc>
      </w:tr>
      <w:tr w:rsidR="00450A1C" w:rsidRPr="003208F1" w:rsidTr="00346FD8">
        <w:tc>
          <w:tcPr>
            <w:tcW w:w="2688" w:type="dxa"/>
          </w:tcPr>
          <w:p w:rsidR="00450A1C" w:rsidRPr="00ED634A" w:rsidRDefault="00450A1C" w:rsidP="00346FD8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:rsidR="00337E03" w:rsidRDefault="00337E03" w:rsidP="00337E03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-Feuilles au format papier ou informatique</w:t>
            </w:r>
          </w:p>
          <w:p w:rsidR="00450A1C" w:rsidRPr="00EB054C" w:rsidRDefault="00337E03" w:rsidP="00337E03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-Plus ou moins espacés</w:t>
            </w:r>
          </w:p>
        </w:tc>
      </w:tr>
      <w:bookmarkEnd w:id="0"/>
    </w:tbl>
    <w:p w:rsidR="00450A1C" w:rsidRDefault="00450A1C" w:rsidP="00450A1C"/>
    <w:p w:rsidR="00901B4B" w:rsidRDefault="00901B4B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5B046F"/>
    <w:p w:rsidR="005B046F" w:rsidRDefault="000101EF">
      <w:r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EF" w:rsidRDefault="000101EF"/>
    <w:p w:rsidR="000101EF" w:rsidRDefault="005F4203">
      <w:r w:rsidRPr="005F4203">
        <w:rPr>
          <w:noProof/>
        </w:rPr>
        <w:lastRenderedPageBreak/>
        <w:drawing>
          <wp:inline distT="0" distB="0" distL="0" distR="0" wp14:anchorId="49B670BA" wp14:editId="1460A32C">
            <wp:extent cx="5890260" cy="95218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908">
        <w:rPr>
          <w:noProof/>
        </w:rPr>
        <w:lastRenderedPageBreak/>
        <w:drawing>
          <wp:inline distT="0" distB="0" distL="0" distR="0">
            <wp:extent cx="6393180" cy="90297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A4" w:rsidRDefault="000228A4"/>
    <w:p w:rsidR="000228A4" w:rsidRPr="000228A4" w:rsidRDefault="000228A4">
      <w:pPr>
        <w:rPr>
          <w:b/>
          <w:color w:val="FF0000"/>
          <w:sz w:val="24"/>
        </w:rPr>
      </w:pPr>
      <w:r w:rsidRPr="000228A4">
        <w:rPr>
          <w:b/>
          <w:color w:val="FF0000"/>
          <w:sz w:val="24"/>
        </w:rPr>
        <w:lastRenderedPageBreak/>
        <w:t>CORRECTIF :</w:t>
      </w:r>
    </w:p>
    <w:p w:rsidR="000228A4" w:rsidRDefault="000228A4">
      <w:r w:rsidRPr="000228A4">
        <w:drawing>
          <wp:inline distT="0" distB="0" distL="0" distR="0" wp14:anchorId="35C87222" wp14:editId="0B50F836">
            <wp:extent cx="5395313" cy="87217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15" cy="872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203" w:rsidRDefault="005F4203"/>
    <w:p w:rsidR="005F4203" w:rsidRDefault="005F4203">
      <w:r w:rsidRPr="005F4203">
        <w:lastRenderedPageBreak/>
        <w:drawing>
          <wp:inline distT="0" distB="0" distL="0" distR="0" wp14:anchorId="20A8427E" wp14:editId="6E8DEB47">
            <wp:extent cx="6390640" cy="90227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F4203" w:rsidSect="005B046F">
      <w:pgSz w:w="11906" w:h="16838" w:code="9"/>
      <w:pgMar w:top="426" w:right="849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1C"/>
    <w:rsid w:val="000101EF"/>
    <w:rsid w:val="000228A4"/>
    <w:rsid w:val="00337E03"/>
    <w:rsid w:val="00450A1C"/>
    <w:rsid w:val="005B046F"/>
    <w:rsid w:val="005F4203"/>
    <w:rsid w:val="00613964"/>
    <w:rsid w:val="00847908"/>
    <w:rsid w:val="00901B4B"/>
    <w:rsid w:val="009D6CF9"/>
    <w:rsid w:val="00CB0222"/>
    <w:rsid w:val="00E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21AE"/>
  <w15:chartTrackingRefBased/>
  <w15:docId w15:val="{EDC3FEA9-3B2F-44C7-B06A-2910BDEF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0A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5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Benedicte Delwiche</cp:lastModifiedBy>
  <cp:revision>4</cp:revision>
  <dcterms:created xsi:type="dcterms:W3CDTF">2023-05-08T11:32:00Z</dcterms:created>
  <dcterms:modified xsi:type="dcterms:W3CDTF">2023-05-12T10:41:00Z</dcterms:modified>
</cp:coreProperties>
</file>